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F56AA" w14:textId="00FC9206" w:rsidR="00801B96" w:rsidRPr="00DD520D" w:rsidRDefault="00801B96" w:rsidP="00801B96">
      <w:pPr>
        <w:autoSpaceDE w:val="0"/>
        <w:autoSpaceDN w:val="0"/>
        <w:adjustRightInd w:val="0"/>
        <w:spacing w:before="240" w:after="0" w:line="240" w:lineRule="auto"/>
        <w:jc w:val="both"/>
        <w:rPr>
          <w:rFonts w:ascii="Times New Roman" w:hAnsi="Times New Roman" w:cs="Times New Roman"/>
          <w:color w:val="000000"/>
          <w:sz w:val="24"/>
          <w:szCs w:val="24"/>
        </w:rPr>
      </w:pPr>
      <w:r w:rsidRPr="00801B96">
        <w:rPr>
          <w:rFonts w:ascii="Times New Roman" w:hAnsi="Times New Roman" w:cs="Times New Roman"/>
          <w:b/>
          <w:bCs/>
          <w:color w:val="000000"/>
          <w:sz w:val="24"/>
          <w:szCs w:val="24"/>
        </w:rPr>
        <w:t>DCP 452 CP</w:t>
      </w:r>
      <w:r w:rsidR="00624591">
        <w:rPr>
          <w:rFonts w:ascii="Times New Roman" w:hAnsi="Times New Roman" w:cs="Times New Roman"/>
          <w:b/>
          <w:bCs/>
          <w:color w:val="000000"/>
          <w:sz w:val="24"/>
          <w:szCs w:val="24"/>
        </w:rPr>
        <w:t xml:space="preserve"> purpose</w:t>
      </w:r>
      <w:r w:rsidRPr="00801B96">
        <w:rPr>
          <w:rFonts w:ascii="Times New Roman" w:hAnsi="Times New Roman" w:cs="Times New Roman"/>
          <w:b/>
          <w:bCs/>
          <w:color w:val="000000"/>
          <w:sz w:val="24"/>
          <w:szCs w:val="24"/>
        </w:rPr>
        <w:t xml:space="preserve"> states</w:t>
      </w:r>
      <w:r w:rsidRPr="00801B96">
        <w:rPr>
          <w:rFonts w:ascii="Times New Roman" w:hAnsi="Times New Roman" w:cs="Times New Roman"/>
          <w:color w:val="000000"/>
          <w:sz w:val="24"/>
          <w:szCs w:val="24"/>
        </w:rPr>
        <w:t xml:space="preserve"> “Under the Forward Cost Pricing (FCP) variant of the Extra High Voltage (EHV) Distribution Charging Methodology (EDCM), Connectees which connect direct to a Grid Supply Point (GSP) </w:t>
      </w:r>
      <w:r w:rsidRPr="00801B96">
        <w:rPr>
          <w:rFonts w:ascii="Times New Roman" w:hAnsi="Times New Roman" w:cs="Times New Roman"/>
          <w:b/>
          <w:bCs/>
          <w:color w:val="000000"/>
          <w:sz w:val="24"/>
          <w:szCs w:val="24"/>
        </w:rPr>
        <w:t xml:space="preserve">are deemed not to use any shared network </w:t>
      </w:r>
      <w:r w:rsidR="00A75BD1" w:rsidRPr="00801B96">
        <w:rPr>
          <w:rFonts w:ascii="Times New Roman" w:hAnsi="Times New Roman" w:cs="Times New Roman"/>
          <w:b/>
          <w:bCs/>
          <w:color w:val="000000"/>
          <w:sz w:val="24"/>
          <w:szCs w:val="24"/>
        </w:rPr>
        <w:t xml:space="preserve">assets </w:t>
      </w:r>
      <w:r w:rsidR="00A75BD1" w:rsidRPr="00A75BD1">
        <w:rPr>
          <w:rFonts w:ascii="Times New Roman" w:hAnsi="Times New Roman" w:cs="Times New Roman"/>
          <w:color w:val="000000"/>
          <w:sz w:val="24"/>
          <w:szCs w:val="24"/>
        </w:rPr>
        <w:t>but</w:t>
      </w:r>
      <w:r w:rsidRPr="00A75BD1">
        <w:rPr>
          <w:rFonts w:ascii="Times New Roman" w:hAnsi="Times New Roman" w:cs="Times New Roman"/>
          <w:color w:val="000000"/>
          <w:sz w:val="24"/>
          <w:szCs w:val="24"/>
        </w:rPr>
        <w:t xml:space="preserve"> </w:t>
      </w:r>
      <w:r w:rsidRPr="00801B96">
        <w:rPr>
          <w:rFonts w:ascii="Times New Roman" w:hAnsi="Times New Roman" w:cs="Times New Roman"/>
          <w:color w:val="000000"/>
          <w:sz w:val="24"/>
          <w:szCs w:val="24"/>
        </w:rPr>
        <w:t>are exposed to forward looking charges/credits for the downstream FCP network group in that location.”</w:t>
      </w:r>
    </w:p>
    <w:p w14:paraId="4BB5D02D" w14:textId="09D462B5" w:rsidR="00801B96" w:rsidRPr="00801B96" w:rsidRDefault="00801B96" w:rsidP="00801B96">
      <w:pPr>
        <w:pStyle w:val="ListParagraph"/>
        <w:numPr>
          <w:ilvl w:val="0"/>
          <w:numId w:val="2"/>
        </w:numPr>
        <w:autoSpaceDE w:val="0"/>
        <w:autoSpaceDN w:val="0"/>
        <w:adjustRightInd w:val="0"/>
        <w:spacing w:before="240" w:after="0" w:line="240" w:lineRule="auto"/>
        <w:jc w:val="both"/>
        <w:rPr>
          <w:rFonts w:ascii="Times New Roman" w:hAnsi="Times New Roman" w:cs="Times New Roman"/>
          <w:color w:val="000000"/>
          <w:sz w:val="24"/>
          <w:szCs w:val="24"/>
        </w:rPr>
      </w:pPr>
      <w:r w:rsidRPr="00801B96">
        <w:rPr>
          <w:rFonts w:ascii="Times New Roman" w:hAnsi="Times New Roman" w:cs="Times New Roman"/>
          <w:color w:val="000000"/>
          <w:sz w:val="24"/>
          <w:szCs w:val="24"/>
        </w:rPr>
        <w:t xml:space="preserve">The methodological change proposed by the CP is to exempt a subset of EDCM demand customers (Category 0000) from the FCP locational charge. The proposed rationale for doing so is that these customers do not use any </w:t>
      </w:r>
      <w:r w:rsidR="00A1300E" w:rsidRPr="00801B96">
        <w:rPr>
          <w:rFonts w:ascii="Times New Roman" w:hAnsi="Times New Roman" w:cs="Times New Roman"/>
          <w:color w:val="000000"/>
          <w:sz w:val="24"/>
          <w:szCs w:val="24"/>
        </w:rPr>
        <w:t>assets and</w:t>
      </w:r>
      <w:r w:rsidRPr="00801B96">
        <w:rPr>
          <w:rFonts w:ascii="Times New Roman" w:hAnsi="Times New Roman" w:cs="Times New Roman"/>
          <w:color w:val="000000"/>
          <w:sz w:val="24"/>
          <w:szCs w:val="24"/>
        </w:rPr>
        <w:t xml:space="preserve"> should not therefore be charged in connection with future reinforcement costs of assets they do not use. </w:t>
      </w:r>
    </w:p>
    <w:p w14:paraId="3355A5B0" w14:textId="77C21651" w:rsidR="00624591" w:rsidRDefault="00624591" w:rsidP="00801B96">
      <w:pPr>
        <w:pStyle w:val="ListParagraph"/>
        <w:autoSpaceDE w:val="0"/>
        <w:autoSpaceDN w:val="0"/>
        <w:adjustRightInd w:val="0"/>
        <w:spacing w:before="240" w:after="0" w:line="240" w:lineRule="auto"/>
        <w:jc w:val="both"/>
        <w:rPr>
          <w:rFonts w:ascii="Times New Roman" w:hAnsi="Times New Roman" w:cs="Times New Roman"/>
          <w:b/>
          <w:bCs/>
          <w:color w:val="000000"/>
          <w:sz w:val="24"/>
          <w:szCs w:val="24"/>
        </w:rPr>
      </w:pPr>
    </w:p>
    <w:p w14:paraId="6BDF2945" w14:textId="177E7EDA" w:rsidR="00624591" w:rsidRPr="00624591" w:rsidRDefault="00624591" w:rsidP="00624591">
      <w:pPr>
        <w:autoSpaceDE w:val="0"/>
        <w:autoSpaceDN w:val="0"/>
        <w:adjustRightInd w:val="0"/>
        <w:spacing w:before="240" w:after="0" w:line="240" w:lineRule="auto"/>
        <w:jc w:val="both"/>
        <w:rPr>
          <w:rFonts w:ascii="Times New Roman" w:hAnsi="Times New Roman" w:cs="Times New Roman"/>
          <w:b/>
          <w:bCs/>
          <w:color w:val="000000"/>
          <w:sz w:val="24"/>
          <w:szCs w:val="24"/>
        </w:rPr>
      </w:pPr>
      <w:r w:rsidRPr="00624591">
        <w:rPr>
          <w:rFonts w:ascii="Times New Roman" w:hAnsi="Times New Roman" w:cs="Times New Roman"/>
          <w:b/>
          <w:bCs/>
          <w:color w:val="000000"/>
          <w:sz w:val="24"/>
          <w:szCs w:val="24"/>
        </w:rPr>
        <w:t>Argument 1</w:t>
      </w:r>
    </w:p>
    <w:p w14:paraId="32DBBD2D" w14:textId="03A7D913" w:rsidR="00801B96" w:rsidRPr="00801B96" w:rsidRDefault="00801B96" w:rsidP="00801B96">
      <w:pPr>
        <w:autoSpaceDE w:val="0"/>
        <w:autoSpaceDN w:val="0"/>
        <w:adjustRightInd w:val="0"/>
        <w:spacing w:before="240" w:after="0" w:line="240" w:lineRule="auto"/>
        <w:jc w:val="both"/>
        <w:rPr>
          <w:rFonts w:ascii="Times New Roman" w:hAnsi="Times New Roman" w:cs="Times New Roman"/>
          <w:b/>
          <w:bCs/>
          <w:color w:val="000000"/>
          <w:sz w:val="24"/>
          <w:szCs w:val="24"/>
        </w:rPr>
      </w:pPr>
      <w:r w:rsidRPr="00801B96">
        <w:rPr>
          <w:rFonts w:ascii="Times New Roman" w:hAnsi="Times New Roman" w:cs="Times New Roman"/>
          <w:b/>
          <w:bCs/>
          <w:color w:val="000000"/>
          <w:sz w:val="24"/>
          <w:szCs w:val="24"/>
        </w:rPr>
        <w:t>Network group definition in FCP approach</w:t>
      </w:r>
    </w:p>
    <w:p w14:paraId="251656FB" w14:textId="5C18374A" w:rsidR="003E3482" w:rsidRPr="00801B96" w:rsidRDefault="003E3482" w:rsidP="00801B96">
      <w:pPr>
        <w:autoSpaceDE w:val="0"/>
        <w:autoSpaceDN w:val="0"/>
        <w:adjustRightInd w:val="0"/>
        <w:spacing w:before="240" w:after="0" w:line="240" w:lineRule="auto"/>
        <w:jc w:val="both"/>
        <w:rPr>
          <w:rFonts w:ascii="Times New Roman" w:hAnsi="Times New Roman" w:cs="Times New Roman"/>
          <w:color w:val="000000"/>
          <w:sz w:val="24"/>
          <w:szCs w:val="24"/>
        </w:rPr>
      </w:pPr>
      <w:r w:rsidRPr="00801B96">
        <w:rPr>
          <w:rFonts w:ascii="Times New Roman" w:hAnsi="Times New Roman" w:cs="Times New Roman"/>
          <w:color w:val="000000"/>
          <w:sz w:val="24"/>
          <w:szCs w:val="24"/>
        </w:rPr>
        <w:t xml:space="preserve">The method to calculate FCP charges for demand customers is described in Annex 1 of </w:t>
      </w:r>
      <w:r w:rsidR="007E461B" w:rsidRPr="00801B96">
        <w:rPr>
          <w:rFonts w:ascii="Times New Roman" w:hAnsi="Times New Roman" w:cs="Times New Roman"/>
          <w:color w:val="000000"/>
          <w:sz w:val="24"/>
          <w:szCs w:val="24"/>
        </w:rPr>
        <w:t xml:space="preserve">Schedule 17 (page </w:t>
      </w:r>
      <w:r w:rsidR="00CE4F4E" w:rsidRPr="00801B96">
        <w:rPr>
          <w:rFonts w:ascii="Times New Roman" w:hAnsi="Times New Roman" w:cs="Times New Roman"/>
          <w:color w:val="000000"/>
          <w:sz w:val="24"/>
          <w:szCs w:val="24"/>
        </w:rPr>
        <w:t>726</w:t>
      </w:r>
      <w:r w:rsidRPr="00801B96">
        <w:rPr>
          <w:rFonts w:ascii="Times New Roman" w:hAnsi="Times New Roman" w:cs="Times New Roman"/>
          <w:color w:val="000000"/>
          <w:sz w:val="24"/>
          <w:szCs w:val="24"/>
        </w:rPr>
        <w:t xml:space="preserve"> onwards).  Paragraph 6.</w:t>
      </w:r>
      <w:r w:rsidR="001A66CF" w:rsidRPr="00801B96">
        <w:rPr>
          <w:rFonts w:ascii="Times New Roman" w:hAnsi="Times New Roman" w:cs="Times New Roman"/>
          <w:color w:val="000000"/>
          <w:sz w:val="24"/>
          <w:szCs w:val="24"/>
        </w:rPr>
        <w:t>5</w:t>
      </w:r>
      <w:r w:rsidRPr="00801B96">
        <w:rPr>
          <w:rFonts w:ascii="Times New Roman" w:hAnsi="Times New Roman" w:cs="Times New Roman"/>
          <w:color w:val="000000"/>
          <w:sz w:val="24"/>
          <w:szCs w:val="24"/>
        </w:rPr>
        <w:t xml:space="preserve"> on page </w:t>
      </w:r>
      <w:r w:rsidR="001A66CF" w:rsidRPr="00801B96">
        <w:rPr>
          <w:rFonts w:ascii="Times New Roman" w:hAnsi="Times New Roman" w:cs="Times New Roman"/>
          <w:color w:val="000000"/>
          <w:sz w:val="24"/>
          <w:szCs w:val="24"/>
        </w:rPr>
        <w:t>7</w:t>
      </w:r>
      <w:r w:rsidR="007E461B" w:rsidRPr="00801B96">
        <w:rPr>
          <w:rFonts w:ascii="Times New Roman" w:hAnsi="Times New Roman" w:cs="Times New Roman"/>
          <w:color w:val="000000"/>
          <w:sz w:val="24"/>
          <w:szCs w:val="24"/>
        </w:rPr>
        <w:t>5</w:t>
      </w:r>
      <w:r w:rsidR="001A66CF" w:rsidRPr="00801B96">
        <w:rPr>
          <w:rFonts w:ascii="Times New Roman" w:hAnsi="Times New Roman" w:cs="Times New Roman"/>
          <w:color w:val="000000"/>
          <w:sz w:val="24"/>
          <w:szCs w:val="24"/>
        </w:rPr>
        <w:t>5</w:t>
      </w:r>
      <w:r w:rsidRPr="00801B96">
        <w:rPr>
          <w:rFonts w:ascii="Times New Roman" w:hAnsi="Times New Roman" w:cs="Times New Roman"/>
          <w:color w:val="000000"/>
          <w:sz w:val="24"/>
          <w:szCs w:val="24"/>
        </w:rPr>
        <w:t xml:space="preserve"> says "The demand (load or generation) that is considered to be associated with each Network Group is the demand that is connected within the Network Group and also within any lower voltage Network Group that is connected to the source Network Group under Normal Running Arrangements."</w:t>
      </w:r>
      <w:r w:rsidRPr="00801B96">
        <w:rPr>
          <w:rFonts w:ascii="Times New Roman" w:hAnsi="Times New Roman" w:cs="Times New Roman"/>
          <w:color w:val="000000"/>
          <w:sz w:val="24"/>
          <w:szCs w:val="24"/>
        </w:rPr>
        <w:br/>
      </w:r>
      <w:r w:rsidRPr="00801B96">
        <w:rPr>
          <w:rFonts w:ascii="Times New Roman" w:hAnsi="Times New Roman" w:cs="Times New Roman"/>
          <w:color w:val="000000"/>
          <w:sz w:val="24"/>
          <w:szCs w:val="24"/>
        </w:rPr>
        <w:br/>
        <w:t xml:space="preserve">Further Figure 8 on page </w:t>
      </w:r>
      <w:r w:rsidR="001A66CF" w:rsidRPr="00801B96">
        <w:rPr>
          <w:rFonts w:ascii="Times New Roman" w:hAnsi="Times New Roman" w:cs="Times New Roman"/>
          <w:color w:val="000000"/>
          <w:sz w:val="24"/>
          <w:szCs w:val="24"/>
        </w:rPr>
        <w:t>755</w:t>
      </w:r>
      <w:r w:rsidRPr="00801B96">
        <w:rPr>
          <w:rFonts w:ascii="Times New Roman" w:hAnsi="Times New Roman" w:cs="Times New Roman"/>
          <w:color w:val="000000"/>
          <w:sz w:val="24"/>
          <w:szCs w:val="24"/>
        </w:rPr>
        <w:t xml:space="preserve"> (reproduced below for convenience) sets out an example network to illustrate the distinction between level 1, 2 and 3 network groups.  Importantly</w:t>
      </w:r>
      <w:r w:rsidRPr="00E66DF7">
        <w:rPr>
          <w:rFonts w:ascii="Times New Roman" w:hAnsi="Times New Roman" w:cs="Times New Roman"/>
          <w:color w:val="000000"/>
          <w:sz w:val="24"/>
          <w:szCs w:val="24"/>
        </w:rPr>
        <w:t>, it shows that the GSP busbar (on the distribution side) is part of the level 1 network group</w:t>
      </w:r>
      <w:r w:rsidRPr="00801B96">
        <w:rPr>
          <w:rFonts w:ascii="Times New Roman" w:hAnsi="Times New Roman" w:cs="Times New Roman"/>
          <w:color w:val="000000"/>
          <w:sz w:val="24"/>
          <w:szCs w:val="24"/>
        </w:rPr>
        <w:t xml:space="preserve">. </w:t>
      </w:r>
    </w:p>
    <w:p w14:paraId="6513A92F" w14:textId="77777777" w:rsidR="003E3482" w:rsidRDefault="003E3482" w:rsidP="00801B96">
      <w:pPr>
        <w:autoSpaceDE w:val="0"/>
        <w:autoSpaceDN w:val="0"/>
        <w:adjustRightInd w:val="0"/>
        <w:spacing w:before="240"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r>
      <w:r>
        <w:rPr>
          <w:rFonts w:ascii="Times New Roman" w:hAnsi="Times New Roman" w:cs="Times New Roman"/>
          <w:noProof/>
          <w:color w:val="000000"/>
          <w:sz w:val="24"/>
          <w:szCs w:val="24"/>
        </w:rPr>
        <w:drawing>
          <wp:inline distT="0" distB="0" distL="0" distR="0" wp14:anchorId="5EBE270C" wp14:editId="6852301A">
            <wp:extent cx="5812008" cy="3370580"/>
            <wp:effectExtent l="0" t="0" r="0"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 cstate="print"/>
                    <a:srcRect/>
                    <a:stretch>
                      <a:fillRect/>
                    </a:stretch>
                  </pic:blipFill>
                  <pic:spPr bwMode="auto">
                    <a:xfrm>
                      <a:off x="0" y="0"/>
                      <a:ext cx="5816101" cy="3372954"/>
                    </a:xfrm>
                    <a:prstGeom prst="rect">
                      <a:avLst/>
                    </a:prstGeom>
                    <a:noFill/>
                    <a:ln w="9525">
                      <a:noFill/>
                      <a:miter lim="800000"/>
                      <a:headEnd/>
                      <a:tailEnd/>
                    </a:ln>
                  </pic:spPr>
                </pic:pic>
              </a:graphicData>
            </a:graphic>
          </wp:inline>
        </w:drawing>
      </w:r>
    </w:p>
    <w:p w14:paraId="2E8A05B5" w14:textId="7BE4C63C" w:rsidR="00E66DF7" w:rsidRDefault="003E3482" w:rsidP="00E66DF7">
      <w:pPr>
        <w:autoSpaceDE w:val="0"/>
        <w:autoSpaceDN w:val="0"/>
        <w:adjustRightInd w:val="0"/>
        <w:spacing w:before="240"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br/>
      </w:r>
      <w:r w:rsidRPr="00801B96">
        <w:rPr>
          <w:rFonts w:ascii="Times New Roman" w:hAnsi="Times New Roman" w:cs="Times New Roman"/>
          <w:color w:val="000000"/>
          <w:sz w:val="24"/>
          <w:szCs w:val="24"/>
        </w:rPr>
        <w:t>The only interpretation of this diagram is that a customer where the point of common coupling is at the GSP busbar</w:t>
      </w:r>
      <w:r w:rsidR="001A66CF" w:rsidRPr="00801B96">
        <w:rPr>
          <w:rFonts w:ascii="Times New Roman" w:hAnsi="Times New Roman" w:cs="Times New Roman"/>
          <w:color w:val="000000"/>
          <w:sz w:val="24"/>
          <w:szCs w:val="24"/>
        </w:rPr>
        <w:t xml:space="preserve"> (0000)</w:t>
      </w:r>
      <w:r w:rsidRPr="00801B96">
        <w:rPr>
          <w:rFonts w:ascii="Times New Roman" w:hAnsi="Times New Roman" w:cs="Times New Roman"/>
          <w:color w:val="000000"/>
          <w:sz w:val="24"/>
          <w:szCs w:val="24"/>
        </w:rPr>
        <w:t xml:space="preserve"> is in a level 1 network group</w:t>
      </w:r>
      <w:r w:rsidR="00EA5FB6">
        <w:rPr>
          <w:rFonts w:ascii="Times New Roman" w:hAnsi="Times New Roman" w:cs="Times New Roman"/>
          <w:color w:val="000000"/>
          <w:sz w:val="24"/>
          <w:szCs w:val="24"/>
        </w:rPr>
        <w:t xml:space="preserve"> </w:t>
      </w:r>
      <w:r w:rsidR="00E66DF7" w:rsidRPr="00E66DF7">
        <w:rPr>
          <w:rFonts w:ascii="Times New Roman" w:hAnsi="Times New Roman" w:cs="Times New Roman"/>
          <w:color w:val="000000"/>
          <w:sz w:val="24"/>
          <w:szCs w:val="24"/>
        </w:rPr>
        <w:t xml:space="preserve">and therefore the FCP charges </w:t>
      </w:r>
      <w:r w:rsidR="00E66DF7" w:rsidRPr="00E66DF7">
        <w:rPr>
          <w:rFonts w:ascii="Times New Roman" w:hAnsi="Times New Roman" w:cs="Times New Roman"/>
          <w:color w:val="000000"/>
          <w:sz w:val="24"/>
          <w:szCs w:val="24"/>
        </w:rPr>
        <w:lastRenderedPageBreak/>
        <w:t>applicable to the network group should apply to those customers in order to be consistent with the FCP EDCM methodology. Stipulating that Category 0000 customers should not be subject to FCP locational charges would cause inconsistency with other customers in the level 1 network group and customers in the Level 2/3 networks groups.</w:t>
      </w:r>
    </w:p>
    <w:p w14:paraId="4CBD91F2" w14:textId="77777777" w:rsidR="00EA5FB6" w:rsidRPr="00624591" w:rsidRDefault="00EA5FB6" w:rsidP="00EA5FB6">
      <w:pPr>
        <w:autoSpaceDE w:val="0"/>
        <w:autoSpaceDN w:val="0"/>
        <w:adjustRightInd w:val="0"/>
        <w:spacing w:before="240" w:after="0" w:line="240" w:lineRule="auto"/>
        <w:jc w:val="both"/>
        <w:rPr>
          <w:rFonts w:ascii="Times New Roman" w:hAnsi="Times New Roman" w:cs="Times New Roman"/>
          <w:color w:val="000000"/>
          <w:sz w:val="24"/>
          <w:szCs w:val="24"/>
        </w:rPr>
      </w:pPr>
      <w:r w:rsidRPr="00624591">
        <w:rPr>
          <w:rFonts w:ascii="Times New Roman" w:hAnsi="Times New Roman" w:cs="Times New Roman"/>
          <w:b/>
          <w:bCs/>
          <w:color w:val="000000"/>
          <w:sz w:val="24"/>
          <w:szCs w:val="24"/>
        </w:rPr>
        <w:t>DCP 452 section 1.3 states:</w:t>
      </w:r>
      <w:r w:rsidRPr="00624591">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624591">
        <w:rPr>
          <w:rFonts w:ascii="Times New Roman" w:hAnsi="Times New Roman" w:cs="Times New Roman"/>
          <w:color w:val="000000"/>
          <w:sz w:val="24"/>
          <w:szCs w:val="24"/>
        </w:rPr>
        <w:t xml:space="preserve">Connectees at all voltages in the EDCM and CDCM face forward looking charges/credits in respect of assets upstream of their connection point, up to the GSP. Connectees directly connecting to a GSP under the FCP variant of the EDCM </w:t>
      </w:r>
      <w:r w:rsidRPr="00624591">
        <w:rPr>
          <w:rFonts w:ascii="Times New Roman" w:hAnsi="Times New Roman" w:cs="Times New Roman"/>
          <w:b/>
          <w:bCs/>
          <w:color w:val="000000"/>
          <w:sz w:val="24"/>
          <w:szCs w:val="24"/>
        </w:rPr>
        <w:t>are the only users to be exposed to charges/credits in respect of a downstream voltage,</w:t>
      </w:r>
      <w:r w:rsidRPr="00624591">
        <w:rPr>
          <w:rFonts w:ascii="Times New Roman" w:hAnsi="Times New Roman" w:cs="Times New Roman"/>
          <w:color w:val="000000"/>
          <w:sz w:val="24"/>
          <w:szCs w:val="24"/>
        </w:rPr>
        <w:t xml:space="preserve"> resulting in differential treatment of similar network users, dependent on whether the DNO region uses the FCP variant of the EDCM or the LRIC variant.</w:t>
      </w:r>
      <w:r>
        <w:rPr>
          <w:rFonts w:ascii="Times New Roman" w:hAnsi="Times New Roman" w:cs="Times New Roman"/>
          <w:color w:val="000000"/>
          <w:sz w:val="24"/>
          <w:szCs w:val="24"/>
        </w:rPr>
        <w:t>’</w:t>
      </w:r>
    </w:p>
    <w:p w14:paraId="1F94BCD2" w14:textId="5B4BE83C" w:rsidR="00EA5FB6" w:rsidRDefault="00EA5FB6" w:rsidP="00EA5FB6">
      <w:pPr>
        <w:pStyle w:val="ListParagraph"/>
        <w:numPr>
          <w:ilvl w:val="0"/>
          <w:numId w:val="2"/>
        </w:numPr>
        <w:autoSpaceDE w:val="0"/>
        <w:autoSpaceDN w:val="0"/>
        <w:adjustRightInd w:val="0"/>
        <w:spacing w:before="240"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This statement is not correct. Let look at an example for customers (1000) in the below diagram (extracted from Schedule 17 page 693). Those customers are also within level 1 (same as customer 0000) within same FCP network group. They are also exposed to charges in respect of downstream voltage (Level 2, 3).</w:t>
      </w:r>
    </w:p>
    <w:p w14:paraId="281C77D7" w14:textId="77777777" w:rsidR="00EA5FB6" w:rsidRDefault="00EA5FB6" w:rsidP="00EA5FB6">
      <w:pPr>
        <w:pStyle w:val="ListParagraph"/>
        <w:autoSpaceDE w:val="0"/>
        <w:autoSpaceDN w:val="0"/>
        <w:adjustRightInd w:val="0"/>
        <w:spacing w:before="240" w:after="0" w:line="240" w:lineRule="auto"/>
        <w:jc w:val="both"/>
        <w:rPr>
          <w:rFonts w:ascii="Times New Roman" w:hAnsi="Times New Roman" w:cs="Times New Roman"/>
          <w:color w:val="000000"/>
          <w:sz w:val="24"/>
          <w:szCs w:val="24"/>
        </w:rPr>
      </w:pPr>
    </w:p>
    <w:p w14:paraId="672E4BBE" w14:textId="77777777" w:rsidR="00EA5FB6" w:rsidRDefault="00EA5FB6" w:rsidP="00EA5FB6">
      <w:pPr>
        <w:pStyle w:val="ListParagraph"/>
        <w:autoSpaceDE w:val="0"/>
        <w:autoSpaceDN w:val="0"/>
        <w:adjustRightInd w:val="0"/>
        <w:spacing w:before="240" w:after="0" w:line="240" w:lineRule="auto"/>
        <w:jc w:val="center"/>
        <w:rPr>
          <w:rFonts w:ascii="Times New Roman" w:hAnsi="Times New Roman" w:cs="Times New Roman"/>
          <w:color w:val="000000"/>
          <w:sz w:val="24"/>
          <w:szCs w:val="24"/>
        </w:rPr>
      </w:pPr>
      <w:r w:rsidRPr="00624591">
        <w:rPr>
          <w:rFonts w:ascii="Times New Roman" w:hAnsi="Times New Roman" w:cs="Times New Roman"/>
          <w:noProof/>
          <w:color w:val="000000"/>
          <w:sz w:val="24"/>
          <w:szCs w:val="24"/>
        </w:rPr>
        <w:drawing>
          <wp:inline distT="0" distB="0" distL="0" distR="0" wp14:anchorId="462502A2" wp14:editId="2F7D7101">
            <wp:extent cx="5420360" cy="3397348"/>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2035" cy="3436004"/>
                    </a:xfrm>
                    <a:prstGeom prst="rect">
                      <a:avLst/>
                    </a:prstGeom>
                    <a:noFill/>
                    <a:ln>
                      <a:noFill/>
                    </a:ln>
                  </pic:spPr>
                </pic:pic>
              </a:graphicData>
            </a:graphic>
          </wp:inline>
        </w:drawing>
      </w:r>
    </w:p>
    <w:p w14:paraId="0197799D" w14:textId="77777777" w:rsidR="00EA5FB6" w:rsidRDefault="00EA5FB6" w:rsidP="00801B96">
      <w:pPr>
        <w:autoSpaceDE w:val="0"/>
        <w:autoSpaceDN w:val="0"/>
        <w:adjustRightInd w:val="0"/>
        <w:spacing w:before="240" w:after="0" w:line="240" w:lineRule="auto"/>
        <w:jc w:val="both"/>
        <w:rPr>
          <w:rFonts w:ascii="Times New Roman" w:hAnsi="Times New Roman" w:cs="Times New Roman"/>
          <w:b/>
          <w:bCs/>
          <w:color w:val="000000"/>
          <w:sz w:val="24"/>
          <w:szCs w:val="24"/>
        </w:rPr>
      </w:pPr>
    </w:p>
    <w:p w14:paraId="33CF3EC3" w14:textId="77777777" w:rsidR="00EA5FB6" w:rsidRDefault="00EA5FB6" w:rsidP="00801B96">
      <w:pPr>
        <w:autoSpaceDE w:val="0"/>
        <w:autoSpaceDN w:val="0"/>
        <w:adjustRightInd w:val="0"/>
        <w:spacing w:before="240" w:after="0" w:line="240" w:lineRule="auto"/>
        <w:jc w:val="both"/>
        <w:rPr>
          <w:rFonts w:ascii="Times New Roman" w:hAnsi="Times New Roman" w:cs="Times New Roman"/>
          <w:b/>
          <w:bCs/>
          <w:color w:val="000000"/>
          <w:sz w:val="24"/>
          <w:szCs w:val="24"/>
        </w:rPr>
      </w:pPr>
    </w:p>
    <w:p w14:paraId="59CCF68E" w14:textId="2B2133DC" w:rsidR="00EA5FB6" w:rsidRPr="00EA5FB6" w:rsidRDefault="00EA5FB6" w:rsidP="00801B96">
      <w:pPr>
        <w:autoSpaceDE w:val="0"/>
        <w:autoSpaceDN w:val="0"/>
        <w:adjustRightInd w:val="0"/>
        <w:spacing w:before="240" w:after="0" w:line="240" w:lineRule="auto"/>
        <w:jc w:val="both"/>
        <w:rPr>
          <w:rFonts w:ascii="Times New Roman" w:hAnsi="Times New Roman" w:cs="Times New Roman"/>
          <w:b/>
          <w:bCs/>
          <w:color w:val="000000"/>
          <w:sz w:val="24"/>
          <w:szCs w:val="24"/>
        </w:rPr>
      </w:pPr>
      <w:r w:rsidRPr="00EA5FB6">
        <w:rPr>
          <w:rFonts w:ascii="Times New Roman" w:hAnsi="Times New Roman" w:cs="Times New Roman"/>
          <w:b/>
          <w:bCs/>
          <w:color w:val="000000"/>
          <w:sz w:val="24"/>
          <w:szCs w:val="24"/>
        </w:rPr>
        <w:t>Argument 2</w:t>
      </w:r>
    </w:p>
    <w:p w14:paraId="3A2F5408" w14:textId="7F4099CD" w:rsidR="008021A2" w:rsidRPr="00801B96" w:rsidRDefault="00A75BD1" w:rsidP="00801B96">
      <w:pPr>
        <w:autoSpaceDE w:val="0"/>
        <w:autoSpaceDN w:val="0"/>
        <w:adjustRightInd w:val="0"/>
        <w:spacing w:before="240"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Two distinct </w:t>
      </w:r>
      <w:r w:rsidR="00DD520D">
        <w:rPr>
          <w:rFonts w:ascii="Times New Roman" w:hAnsi="Times New Roman" w:cs="Times New Roman"/>
          <w:b/>
          <w:bCs/>
          <w:color w:val="000000"/>
          <w:sz w:val="24"/>
          <w:szCs w:val="24"/>
        </w:rPr>
        <w:t>processes</w:t>
      </w:r>
      <w:r>
        <w:rPr>
          <w:rFonts w:ascii="Times New Roman" w:hAnsi="Times New Roman" w:cs="Times New Roman"/>
          <w:b/>
          <w:bCs/>
          <w:color w:val="000000"/>
          <w:sz w:val="24"/>
          <w:szCs w:val="24"/>
        </w:rPr>
        <w:t xml:space="preserve"> within FCP modelling approach</w:t>
      </w:r>
    </w:p>
    <w:p w14:paraId="7D71A084" w14:textId="11237656" w:rsidR="00DD520D" w:rsidRPr="00A75BD1" w:rsidRDefault="00801B96" w:rsidP="00801B96">
      <w:pPr>
        <w:autoSpaceDE w:val="0"/>
        <w:autoSpaceDN w:val="0"/>
        <w:adjustRightInd w:val="0"/>
        <w:spacing w:before="240" w:after="0" w:line="240" w:lineRule="auto"/>
        <w:jc w:val="both"/>
        <w:rPr>
          <w:rFonts w:ascii="Times New Roman" w:hAnsi="Times New Roman" w:cs="Times New Roman"/>
          <w:color w:val="000000"/>
          <w:sz w:val="24"/>
          <w:szCs w:val="24"/>
          <w:u w:val="single"/>
        </w:rPr>
      </w:pPr>
      <w:r w:rsidRPr="00A75BD1">
        <w:rPr>
          <w:rFonts w:ascii="Times New Roman" w:hAnsi="Times New Roman" w:cs="Times New Roman"/>
          <w:color w:val="000000"/>
          <w:sz w:val="24"/>
          <w:szCs w:val="24"/>
          <w:u w:val="single"/>
        </w:rPr>
        <w:t>FCP charge 1 capacity calc. process</w:t>
      </w:r>
    </w:p>
    <w:p w14:paraId="1C8C3E27" w14:textId="5F6AFADA" w:rsidR="00801B96" w:rsidRPr="00801B96" w:rsidRDefault="00801B96" w:rsidP="00801B96">
      <w:pPr>
        <w:autoSpaceDE w:val="0"/>
        <w:autoSpaceDN w:val="0"/>
        <w:adjustRightInd w:val="0"/>
        <w:spacing w:before="240" w:after="0" w:line="240" w:lineRule="auto"/>
        <w:jc w:val="both"/>
        <w:rPr>
          <w:rFonts w:ascii="Times New Roman" w:hAnsi="Times New Roman" w:cs="Times New Roman"/>
          <w:color w:val="000000"/>
          <w:sz w:val="24"/>
          <w:szCs w:val="24"/>
        </w:rPr>
      </w:pPr>
      <w:r w:rsidRPr="00801B96">
        <w:rPr>
          <w:rFonts w:ascii="Times New Roman" w:hAnsi="Times New Roman" w:cs="Times New Roman"/>
          <w:color w:val="000000"/>
          <w:sz w:val="24"/>
          <w:szCs w:val="24"/>
        </w:rPr>
        <w:t xml:space="preserve">One of the basic principles of the FCP methodology is that it is a </w:t>
      </w:r>
      <w:r w:rsidRPr="00801B96">
        <w:rPr>
          <w:rFonts w:ascii="Times New Roman" w:hAnsi="Times New Roman" w:cs="Times New Roman"/>
          <w:b/>
          <w:bCs/>
          <w:color w:val="000000"/>
          <w:sz w:val="24"/>
          <w:szCs w:val="24"/>
        </w:rPr>
        <w:t>"zonal"</w:t>
      </w:r>
      <w:r w:rsidRPr="00801B96">
        <w:rPr>
          <w:rFonts w:ascii="Times New Roman" w:hAnsi="Times New Roman" w:cs="Times New Roman"/>
          <w:color w:val="000000"/>
          <w:sz w:val="24"/>
          <w:szCs w:val="24"/>
        </w:rPr>
        <w:t xml:space="preserve"> method: it aims to reflect the predicted reinforcement costs of assets within a network "</w:t>
      </w:r>
      <w:r w:rsidRPr="00801B96">
        <w:rPr>
          <w:rFonts w:ascii="Times New Roman" w:hAnsi="Times New Roman" w:cs="Times New Roman"/>
          <w:b/>
          <w:bCs/>
          <w:color w:val="000000"/>
          <w:sz w:val="24"/>
          <w:szCs w:val="24"/>
        </w:rPr>
        <w:t>group</w:t>
      </w:r>
      <w:r w:rsidRPr="00801B96">
        <w:rPr>
          <w:rFonts w:ascii="Times New Roman" w:hAnsi="Times New Roman" w:cs="Times New Roman"/>
          <w:color w:val="000000"/>
          <w:sz w:val="24"/>
          <w:szCs w:val="24"/>
        </w:rPr>
        <w:t xml:space="preserve">", rather than of </w:t>
      </w:r>
      <w:r w:rsidRPr="00DD520D">
        <w:rPr>
          <w:rFonts w:ascii="Times New Roman" w:hAnsi="Times New Roman" w:cs="Times New Roman"/>
          <w:b/>
          <w:bCs/>
          <w:color w:val="000000"/>
          <w:sz w:val="24"/>
          <w:szCs w:val="24"/>
        </w:rPr>
        <w:t>individual</w:t>
      </w:r>
      <w:r w:rsidRPr="00801B96">
        <w:rPr>
          <w:rFonts w:ascii="Times New Roman" w:hAnsi="Times New Roman" w:cs="Times New Roman"/>
          <w:color w:val="000000"/>
          <w:sz w:val="24"/>
          <w:szCs w:val="24"/>
        </w:rPr>
        <w:t xml:space="preserve"> assets. This is based on the idea that reinforcement of assets within a zone (or network group) could be triggered by the actions of any customer connected to that network </w:t>
      </w:r>
      <w:r w:rsidRPr="00801B96">
        <w:rPr>
          <w:rFonts w:ascii="Times New Roman" w:hAnsi="Times New Roman" w:cs="Times New Roman"/>
          <w:color w:val="000000"/>
          <w:sz w:val="24"/>
          <w:szCs w:val="24"/>
        </w:rPr>
        <w:lastRenderedPageBreak/>
        <w:t>group, and every customer connected to that group potentially benefits from such reinforcement. The costs relating to predicted reinforcement within the group are shared across every customer connected to that group. According to the FCP methodology (</w:t>
      </w:r>
      <w:r w:rsidRPr="00DD520D">
        <w:rPr>
          <w:rFonts w:ascii="Times New Roman" w:hAnsi="Times New Roman" w:cs="Times New Roman"/>
          <w:i/>
          <w:iCs/>
          <w:color w:val="000000"/>
          <w:sz w:val="24"/>
          <w:szCs w:val="24"/>
        </w:rPr>
        <w:t>see diagram attached</w:t>
      </w:r>
      <w:r w:rsidR="00DD520D">
        <w:rPr>
          <w:rFonts w:ascii="Times New Roman" w:hAnsi="Times New Roman" w:cs="Times New Roman"/>
          <w:i/>
          <w:iCs/>
          <w:color w:val="000000"/>
          <w:sz w:val="24"/>
          <w:szCs w:val="24"/>
        </w:rPr>
        <w:t xml:space="preserve"> below</w:t>
      </w:r>
      <w:r w:rsidRPr="00801B96">
        <w:rPr>
          <w:rFonts w:ascii="Times New Roman" w:hAnsi="Times New Roman" w:cs="Times New Roman"/>
          <w:color w:val="000000"/>
          <w:sz w:val="24"/>
          <w:szCs w:val="24"/>
        </w:rPr>
        <w:t xml:space="preserve">) GSP busbar assets belong in level 1 network groups, and any customers connected to the busbar would be assigned to a level 1 network group. </w:t>
      </w:r>
    </w:p>
    <w:p w14:paraId="27D4F4AF" w14:textId="42887960" w:rsidR="007E461B" w:rsidRPr="00A75BD1" w:rsidRDefault="008021A2" w:rsidP="00801B96">
      <w:pPr>
        <w:autoSpaceDE w:val="0"/>
        <w:autoSpaceDN w:val="0"/>
        <w:adjustRightInd w:val="0"/>
        <w:spacing w:before="240" w:after="0" w:line="240" w:lineRule="auto"/>
        <w:jc w:val="both"/>
        <w:rPr>
          <w:rFonts w:ascii="Times New Roman" w:hAnsi="Times New Roman" w:cs="Times New Roman"/>
          <w:bCs/>
          <w:color w:val="000000"/>
          <w:sz w:val="24"/>
          <w:szCs w:val="24"/>
          <w:u w:val="single"/>
        </w:rPr>
      </w:pPr>
      <w:r>
        <w:rPr>
          <w:rFonts w:ascii="Times New Roman" w:hAnsi="Times New Roman" w:cs="Times New Roman"/>
          <w:b/>
          <w:color w:val="000000"/>
          <w:sz w:val="24"/>
          <w:szCs w:val="24"/>
        </w:rPr>
        <w:t xml:space="preserve"> </w:t>
      </w:r>
      <w:r w:rsidR="007E461B" w:rsidRPr="00A75BD1">
        <w:rPr>
          <w:rFonts w:ascii="Times New Roman" w:hAnsi="Times New Roman" w:cs="Times New Roman"/>
          <w:bCs/>
          <w:color w:val="000000"/>
          <w:sz w:val="24"/>
          <w:szCs w:val="24"/>
          <w:u w:val="single"/>
        </w:rPr>
        <w:t xml:space="preserve">Network Use Factor </w:t>
      </w:r>
      <w:r w:rsidRPr="00A75BD1">
        <w:rPr>
          <w:rFonts w:ascii="Times New Roman" w:hAnsi="Times New Roman" w:cs="Times New Roman"/>
          <w:bCs/>
          <w:color w:val="000000"/>
          <w:sz w:val="24"/>
          <w:szCs w:val="24"/>
          <w:u w:val="single"/>
        </w:rPr>
        <w:t>calc.</w:t>
      </w:r>
      <w:r w:rsidR="00EE4844" w:rsidRPr="00A75BD1">
        <w:rPr>
          <w:rFonts w:ascii="Times New Roman" w:hAnsi="Times New Roman" w:cs="Times New Roman"/>
          <w:bCs/>
          <w:color w:val="000000"/>
          <w:sz w:val="24"/>
          <w:szCs w:val="24"/>
          <w:u w:val="single"/>
        </w:rPr>
        <w:t xml:space="preserve"> process</w:t>
      </w:r>
    </w:p>
    <w:p w14:paraId="2FBB964C" w14:textId="44012DA0" w:rsidR="007E461B" w:rsidRDefault="003E3482" w:rsidP="00801B96">
      <w:pPr>
        <w:autoSpaceDE w:val="0"/>
        <w:autoSpaceDN w:val="0"/>
        <w:adjustRightInd w:val="0"/>
        <w:spacing w:before="240"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Importantly it is necessary to distinguish the application of FCP</w:t>
      </w:r>
      <w:r w:rsidR="008021A2">
        <w:rPr>
          <w:rFonts w:ascii="Times New Roman" w:hAnsi="Times New Roman" w:cs="Times New Roman"/>
          <w:color w:val="000000"/>
          <w:sz w:val="24"/>
          <w:szCs w:val="24"/>
        </w:rPr>
        <w:t xml:space="preserve"> (charge 1calc.</w:t>
      </w:r>
      <w:r w:rsidR="00EE4844">
        <w:rPr>
          <w:rFonts w:ascii="Times New Roman" w:hAnsi="Times New Roman" w:cs="Times New Roman"/>
          <w:color w:val="000000"/>
          <w:sz w:val="24"/>
          <w:szCs w:val="24"/>
        </w:rPr>
        <w:t xml:space="preserve"> process</w:t>
      </w:r>
      <w:r w:rsidR="00DD520D">
        <w:rPr>
          <w:rFonts w:ascii="Times New Roman" w:hAnsi="Times New Roman" w:cs="Times New Roman"/>
          <w:color w:val="000000"/>
          <w:sz w:val="24"/>
          <w:szCs w:val="24"/>
        </w:rPr>
        <w:t>, mentioned above</w:t>
      </w:r>
      <w:r w:rsidR="008021A2">
        <w:rPr>
          <w:rFonts w:ascii="Times New Roman" w:hAnsi="Times New Roman" w:cs="Times New Roman"/>
          <w:color w:val="000000"/>
          <w:sz w:val="24"/>
          <w:szCs w:val="24"/>
        </w:rPr>
        <w:t>)</w:t>
      </w:r>
      <w:r>
        <w:rPr>
          <w:rFonts w:ascii="Times New Roman" w:hAnsi="Times New Roman" w:cs="Times New Roman"/>
          <w:color w:val="000000"/>
          <w:sz w:val="24"/>
          <w:szCs w:val="24"/>
        </w:rPr>
        <w:t xml:space="preserve"> from the calculation of the customer’s notional </w:t>
      </w:r>
      <w:r w:rsidR="008021A2">
        <w:rPr>
          <w:rFonts w:ascii="Times New Roman" w:hAnsi="Times New Roman" w:cs="Times New Roman"/>
          <w:color w:val="000000"/>
          <w:sz w:val="24"/>
          <w:szCs w:val="24"/>
        </w:rPr>
        <w:t>site-specific</w:t>
      </w:r>
      <w:r>
        <w:rPr>
          <w:rFonts w:ascii="Times New Roman" w:hAnsi="Times New Roman" w:cs="Times New Roman"/>
          <w:color w:val="000000"/>
          <w:sz w:val="24"/>
          <w:szCs w:val="24"/>
        </w:rPr>
        <w:t xml:space="preserve"> shared network asset value (the value of network assets that are deemed to be used by that customer, other than sole use assets) under section 1</w:t>
      </w:r>
      <w:r w:rsidR="00A4343C">
        <w:rPr>
          <w:rFonts w:ascii="Times New Roman" w:hAnsi="Times New Roman" w:cs="Times New Roman"/>
          <w:color w:val="000000"/>
          <w:sz w:val="24"/>
          <w:szCs w:val="24"/>
        </w:rPr>
        <w:t>5</w:t>
      </w:r>
      <w:r w:rsidR="007E461B">
        <w:rPr>
          <w:rFonts w:ascii="Times New Roman" w:hAnsi="Times New Roman" w:cs="Times New Roman"/>
          <w:color w:val="000000"/>
          <w:sz w:val="24"/>
          <w:szCs w:val="24"/>
        </w:rPr>
        <w:t xml:space="preserve"> of Schedule 17</w:t>
      </w:r>
      <w:r>
        <w:rPr>
          <w:rFonts w:ascii="Times New Roman" w:hAnsi="Times New Roman" w:cs="Times New Roman"/>
          <w:color w:val="000000"/>
          <w:sz w:val="24"/>
          <w:szCs w:val="24"/>
        </w:rPr>
        <w:t>.</w:t>
      </w:r>
      <w:r w:rsidR="007E461B">
        <w:rPr>
          <w:rFonts w:ascii="Times New Roman" w:hAnsi="Times New Roman" w:cs="Times New Roman"/>
          <w:color w:val="000000"/>
          <w:sz w:val="24"/>
          <w:szCs w:val="24"/>
        </w:rPr>
        <w:t xml:space="preserve"> This is a completely different approach</w:t>
      </w:r>
      <w:r>
        <w:rPr>
          <w:rFonts w:ascii="Times New Roman" w:hAnsi="Times New Roman" w:cs="Times New Roman"/>
          <w:color w:val="000000"/>
          <w:sz w:val="24"/>
          <w:szCs w:val="24"/>
        </w:rPr>
        <w:t xml:space="preserve"> </w:t>
      </w:r>
      <w:r w:rsidR="007E461B">
        <w:rPr>
          <w:rFonts w:ascii="Times New Roman" w:hAnsi="Times New Roman" w:cs="Times New Roman"/>
          <w:color w:val="000000"/>
          <w:sz w:val="24"/>
          <w:szCs w:val="24"/>
        </w:rPr>
        <w:t>to FCP.</w:t>
      </w:r>
    </w:p>
    <w:p w14:paraId="7C402086" w14:textId="432CA6DF" w:rsidR="00DD520D" w:rsidRDefault="00DD520D" w:rsidP="00801B96">
      <w:pPr>
        <w:autoSpaceDE w:val="0"/>
        <w:autoSpaceDN w:val="0"/>
        <w:adjustRightInd w:val="0"/>
        <w:spacing w:before="240" w:after="0" w:line="240" w:lineRule="auto"/>
        <w:jc w:val="both"/>
        <w:rPr>
          <w:rFonts w:ascii="Times New Roman" w:hAnsi="Times New Roman" w:cs="Times New Roman"/>
          <w:color w:val="000000"/>
          <w:sz w:val="24"/>
          <w:szCs w:val="24"/>
        </w:rPr>
      </w:pPr>
    </w:p>
    <w:p w14:paraId="6AA94C66" w14:textId="08AC1533" w:rsidR="00EA5FB6" w:rsidRPr="00EA5FB6" w:rsidRDefault="00DD520D" w:rsidP="00EA5FB6">
      <w:pPr>
        <w:pStyle w:val="ListParagraph"/>
        <w:numPr>
          <w:ilvl w:val="0"/>
          <w:numId w:val="2"/>
        </w:numPr>
        <w:autoSpaceDE w:val="0"/>
        <w:autoSpaceDN w:val="0"/>
        <w:adjustRightInd w:val="0"/>
        <w:spacing w:before="240" w:after="0" w:line="240" w:lineRule="auto"/>
        <w:jc w:val="both"/>
        <w:rPr>
          <w:rFonts w:ascii="Times New Roman" w:hAnsi="Times New Roman" w:cs="Times New Roman"/>
          <w:color w:val="000000"/>
          <w:sz w:val="24"/>
          <w:szCs w:val="24"/>
        </w:rPr>
      </w:pPr>
      <w:r w:rsidRPr="00DD520D">
        <w:rPr>
          <w:rFonts w:ascii="Times New Roman" w:hAnsi="Times New Roman" w:cs="Times New Roman"/>
          <w:color w:val="000000"/>
          <w:sz w:val="24"/>
          <w:szCs w:val="24"/>
        </w:rPr>
        <w:t xml:space="preserve">The statement in DCUSA Schedule 17 paragraph 15.10 which states that "Category 0000 demand Connectee are deemed not to use any network assets other than sole use assets", is irrelevant to the calculation and application of the FCP charge, because </w:t>
      </w:r>
      <w:r w:rsidR="00A75BD1">
        <w:rPr>
          <w:rFonts w:ascii="Times New Roman" w:hAnsi="Times New Roman" w:cs="Times New Roman"/>
          <w:b/>
          <w:bCs/>
          <w:color w:val="000000"/>
          <w:sz w:val="24"/>
          <w:szCs w:val="24"/>
        </w:rPr>
        <w:t>th</w:t>
      </w:r>
      <w:r w:rsidRPr="00DD520D">
        <w:rPr>
          <w:rFonts w:ascii="Times New Roman" w:hAnsi="Times New Roman" w:cs="Times New Roman"/>
          <w:b/>
          <w:bCs/>
          <w:color w:val="000000"/>
          <w:sz w:val="24"/>
          <w:szCs w:val="24"/>
        </w:rPr>
        <w:t>is is about notional site-specific shared network asset values and not about FCP</w:t>
      </w:r>
      <w:r w:rsidRPr="00DD520D">
        <w:rPr>
          <w:rFonts w:ascii="Times New Roman" w:hAnsi="Times New Roman" w:cs="Times New Roman"/>
          <w:color w:val="000000"/>
          <w:sz w:val="24"/>
          <w:szCs w:val="24"/>
        </w:rPr>
        <w:t xml:space="preserve">.  Customer categories defined in section 15 do not affect the calculation or the application of FCP charge 1. </w:t>
      </w:r>
      <w:r>
        <w:rPr>
          <w:rFonts w:ascii="Times New Roman" w:hAnsi="Times New Roman" w:cs="Times New Roman"/>
          <w:b/>
          <w:bCs/>
          <w:color w:val="000000"/>
          <w:sz w:val="24"/>
          <w:szCs w:val="24"/>
        </w:rPr>
        <w:t>T</w:t>
      </w:r>
      <w:r w:rsidRPr="00DD520D">
        <w:rPr>
          <w:rFonts w:ascii="Times New Roman" w:hAnsi="Times New Roman" w:cs="Times New Roman"/>
          <w:b/>
          <w:bCs/>
          <w:color w:val="000000"/>
          <w:sz w:val="24"/>
          <w:szCs w:val="24"/>
        </w:rPr>
        <w:t>he FCP methodology does not rely on deemed asset use for any customer</w:t>
      </w:r>
      <w:r>
        <w:rPr>
          <w:rFonts w:ascii="Times New Roman" w:hAnsi="Times New Roman" w:cs="Times New Roman"/>
          <w:b/>
          <w:bCs/>
          <w:color w:val="000000"/>
          <w:sz w:val="24"/>
          <w:szCs w:val="24"/>
        </w:rPr>
        <w:t>.</w:t>
      </w:r>
    </w:p>
    <w:p w14:paraId="4CB5FE53" w14:textId="77777777" w:rsidR="00EA5FB6" w:rsidRPr="00EA5FB6" w:rsidRDefault="00EA5FB6" w:rsidP="00EA5FB6">
      <w:pPr>
        <w:autoSpaceDE w:val="0"/>
        <w:autoSpaceDN w:val="0"/>
        <w:adjustRightInd w:val="0"/>
        <w:spacing w:before="240" w:after="0" w:line="240" w:lineRule="auto"/>
        <w:ind w:left="360"/>
        <w:jc w:val="both"/>
        <w:rPr>
          <w:rFonts w:ascii="Times New Roman" w:hAnsi="Times New Roman" w:cs="Times New Roman"/>
          <w:color w:val="000000"/>
          <w:sz w:val="24"/>
          <w:szCs w:val="24"/>
        </w:rPr>
      </w:pPr>
    </w:p>
    <w:p w14:paraId="4EABC74B" w14:textId="77777777" w:rsidR="00EA5FB6" w:rsidRDefault="00A8061F" w:rsidP="00EA5FB6">
      <w:pPr>
        <w:autoSpaceDE w:val="0"/>
        <w:autoSpaceDN w:val="0"/>
        <w:adjustRightInd w:val="0"/>
        <w:spacing w:before="240" w:after="0" w:line="240" w:lineRule="auto"/>
        <w:rPr>
          <w:rFonts w:ascii="Times New Roman" w:hAnsi="Times New Roman" w:cs="Times New Roman"/>
          <w:b/>
          <w:bCs/>
          <w:color w:val="000000"/>
          <w:sz w:val="24"/>
          <w:szCs w:val="24"/>
        </w:rPr>
      </w:pPr>
      <w:r w:rsidRPr="00EA5FB6">
        <w:rPr>
          <w:rFonts w:ascii="Times New Roman" w:hAnsi="Times New Roman" w:cs="Times New Roman"/>
          <w:b/>
          <w:bCs/>
          <w:color w:val="000000"/>
          <w:sz w:val="24"/>
          <w:szCs w:val="24"/>
        </w:rPr>
        <w:t>Argument 3</w:t>
      </w:r>
    </w:p>
    <w:p w14:paraId="381747C8" w14:textId="22D60263" w:rsidR="003E0178" w:rsidRDefault="00EA5FB6" w:rsidP="00EA5FB6">
      <w:pPr>
        <w:autoSpaceDE w:val="0"/>
        <w:autoSpaceDN w:val="0"/>
        <w:adjustRightInd w:val="0"/>
        <w:spacing w:before="240" w:after="0" w:line="240" w:lineRule="auto"/>
        <w:rPr>
          <w:rFonts w:ascii="Times New Roman" w:hAnsi="Times New Roman" w:cs="Times New Roman"/>
          <w:color w:val="000000"/>
          <w:sz w:val="24"/>
          <w:szCs w:val="24"/>
        </w:rPr>
      </w:pPr>
      <w:r w:rsidRPr="00EA5FB6">
        <w:rPr>
          <w:rFonts w:ascii="Times New Roman" w:hAnsi="Times New Roman" w:cs="Times New Roman"/>
          <w:color w:val="000000"/>
          <w:sz w:val="24"/>
          <w:szCs w:val="24"/>
        </w:rPr>
        <w:t>As</w:t>
      </w:r>
      <w:r w:rsidR="003E0178" w:rsidRPr="00EA5FB6">
        <w:rPr>
          <w:rFonts w:ascii="Times New Roman" w:hAnsi="Times New Roman" w:cs="Times New Roman"/>
          <w:color w:val="000000"/>
          <w:sz w:val="24"/>
          <w:szCs w:val="24"/>
        </w:rPr>
        <w:t xml:space="preserve"> the below diagram </w:t>
      </w:r>
      <w:r w:rsidR="009609AC" w:rsidRPr="00EA5FB6">
        <w:rPr>
          <w:rFonts w:ascii="Times New Roman" w:hAnsi="Times New Roman" w:cs="Times New Roman"/>
          <w:color w:val="000000"/>
          <w:sz w:val="24"/>
          <w:szCs w:val="24"/>
        </w:rPr>
        <w:t>(extract</w:t>
      </w:r>
      <w:r w:rsidR="003E0178" w:rsidRPr="00EA5FB6">
        <w:rPr>
          <w:rFonts w:ascii="Times New Roman" w:hAnsi="Times New Roman" w:cs="Times New Roman"/>
          <w:color w:val="000000"/>
          <w:sz w:val="24"/>
          <w:szCs w:val="24"/>
        </w:rPr>
        <w:t xml:space="preserve"> from Schedule 17 page 672) shows that </w:t>
      </w:r>
      <w:r w:rsidR="003E0178" w:rsidRPr="00EA5FB6">
        <w:rPr>
          <w:rFonts w:ascii="Times New Roman" w:hAnsi="Times New Roman" w:cs="Times New Roman"/>
          <w:b/>
          <w:bCs/>
          <w:color w:val="000000"/>
          <w:sz w:val="24"/>
          <w:szCs w:val="24"/>
        </w:rPr>
        <w:t>Load data</w:t>
      </w:r>
      <w:r w:rsidR="003E0178" w:rsidRPr="00EA5FB6">
        <w:rPr>
          <w:rFonts w:ascii="Times New Roman" w:hAnsi="Times New Roman" w:cs="Times New Roman"/>
          <w:color w:val="000000"/>
          <w:sz w:val="24"/>
          <w:szCs w:val="24"/>
        </w:rPr>
        <w:t xml:space="preserve"> is </w:t>
      </w:r>
      <w:r>
        <w:rPr>
          <w:rFonts w:ascii="Times New Roman" w:hAnsi="Times New Roman" w:cs="Times New Roman"/>
          <w:color w:val="000000"/>
          <w:sz w:val="24"/>
          <w:szCs w:val="24"/>
        </w:rPr>
        <w:t xml:space="preserve">the key part of the assessment of future reinforcement cost for the network group. </w:t>
      </w:r>
      <w:r w:rsidR="000642FC">
        <w:rPr>
          <w:rFonts w:ascii="Times New Roman" w:hAnsi="Times New Roman" w:cs="Times New Roman"/>
          <w:color w:val="000000"/>
          <w:sz w:val="24"/>
          <w:szCs w:val="24"/>
        </w:rPr>
        <w:t>Therefore,</w:t>
      </w:r>
      <w:r>
        <w:rPr>
          <w:rFonts w:ascii="Times New Roman" w:hAnsi="Times New Roman" w:cs="Times New Roman"/>
          <w:color w:val="000000"/>
          <w:sz w:val="24"/>
          <w:szCs w:val="24"/>
        </w:rPr>
        <w:t xml:space="preserve"> any </w:t>
      </w:r>
      <w:r w:rsidR="009609AC">
        <w:rPr>
          <w:rFonts w:ascii="Times New Roman" w:hAnsi="Times New Roman" w:cs="Times New Roman"/>
          <w:color w:val="000000"/>
          <w:sz w:val="24"/>
          <w:szCs w:val="24"/>
        </w:rPr>
        <w:t xml:space="preserve">demand growth contribution from any connectees within the network group will contribute to the forecast of reinforcement costs of that network group. </w:t>
      </w:r>
    </w:p>
    <w:p w14:paraId="0E2F0246" w14:textId="3C76E8F5" w:rsidR="00A8061F" w:rsidRDefault="00A8061F" w:rsidP="00A8061F">
      <w:pPr>
        <w:pStyle w:val="ListParagraph"/>
        <w:autoSpaceDE w:val="0"/>
        <w:autoSpaceDN w:val="0"/>
        <w:adjustRightInd w:val="0"/>
        <w:spacing w:before="240" w:after="0" w:line="240" w:lineRule="auto"/>
        <w:rPr>
          <w:rFonts w:ascii="Times New Roman" w:hAnsi="Times New Roman" w:cs="Times New Roman"/>
          <w:b/>
          <w:bCs/>
          <w:color w:val="000000"/>
          <w:sz w:val="24"/>
          <w:szCs w:val="24"/>
        </w:rPr>
      </w:pPr>
    </w:p>
    <w:p w14:paraId="38D3DB51" w14:textId="52F7BFB8" w:rsidR="00A8061F" w:rsidRDefault="000642FC" w:rsidP="00A8061F">
      <w:pPr>
        <w:pStyle w:val="ListParagraph"/>
        <w:autoSpaceDE w:val="0"/>
        <w:autoSpaceDN w:val="0"/>
        <w:adjustRightInd w:val="0"/>
        <w:spacing w:before="240" w:after="0" w:line="240" w:lineRule="auto"/>
        <w:rPr>
          <w:rFonts w:ascii="Times New Roman" w:hAnsi="Times New Roman" w:cs="Times New Roman"/>
          <w:b/>
          <w:bCs/>
          <w:color w:val="000000"/>
          <w:sz w:val="24"/>
          <w:szCs w:val="24"/>
        </w:rPr>
      </w:pPr>
      <w:r w:rsidRPr="000642FC">
        <w:rPr>
          <w:rFonts w:ascii="Times New Roman" w:hAnsi="Times New Roman" w:cs="Times New Roman"/>
          <w:b/>
          <w:bCs/>
          <w:noProof/>
          <w:color w:val="000000"/>
          <w:sz w:val="24"/>
          <w:szCs w:val="24"/>
        </w:rPr>
        <w:drawing>
          <wp:inline distT="0" distB="0" distL="0" distR="0" wp14:anchorId="4E220D5F" wp14:editId="65E9A3C5">
            <wp:extent cx="4915625" cy="25800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68625" cy="2607822"/>
                    </a:xfrm>
                    <a:prstGeom prst="rect">
                      <a:avLst/>
                    </a:prstGeom>
                    <a:noFill/>
                    <a:ln>
                      <a:noFill/>
                    </a:ln>
                  </pic:spPr>
                </pic:pic>
              </a:graphicData>
            </a:graphic>
          </wp:inline>
        </w:drawing>
      </w:r>
    </w:p>
    <w:p w14:paraId="5B7E874D" w14:textId="5CE7FA5F" w:rsidR="00AD0C0E" w:rsidRPr="00AD0C0E" w:rsidRDefault="000642FC" w:rsidP="00AD0C0E">
      <w:pPr>
        <w:pStyle w:val="ListParagraph"/>
        <w:numPr>
          <w:ilvl w:val="0"/>
          <w:numId w:val="3"/>
        </w:numPr>
        <w:spacing w:after="160" w:line="259" w:lineRule="auto"/>
        <w:rPr>
          <w:rFonts w:ascii="Arial" w:eastAsia="Times New Roman" w:hAnsi="Arial" w:cs="Times New Roman"/>
          <w:lang w:val="en-US"/>
        </w:rPr>
      </w:pPr>
      <w:r>
        <w:rPr>
          <w:rFonts w:ascii="Times New Roman" w:hAnsi="Times New Roman" w:cs="Times New Roman"/>
          <w:color w:val="000000"/>
          <w:sz w:val="24"/>
          <w:szCs w:val="24"/>
        </w:rPr>
        <w:t xml:space="preserve">Let look at an example of a 0000 customer with big demand capacity. If they were exempt </w:t>
      </w:r>
      <w:r w:rsidR="00351EF2">
        <w:rPr>
          <w:rFonts w:ascii="Times New Roman" w:hAnsi="Times New Roman" w:cs="Times New Roman"/>
          <w:color w:val="000000"/>
          <w:sz w:val="24"/>
          <w:szCs w:val="24"/>
        </w:rPr>
        <w:t>from ‘</w:t>
      </w:r>
      <w:r>
        <w:rPr>
          <w:rFonts w:ascii="Times New Roman" w:hAnsi="Times New Roman" w:cs="Times New Roman"/>
          <w:color w:val="000000"/>
          <w:sz w:val="24"/>
          <w:szCs w:val="24"/>
        </w:rPr>
        <w:t xml:space="preserve">the charge 1 capacity charge’ ( meaning exempt from the network </w:t>
      </w:r>
      <w:r>
        <w:rPr>
          <w:rFonts w:ascii="Times New Roman" w:hAnsi="Times New Roman" w:cs="Times New Roman"/>
          <w:color w:val="000000"/>
          <w:sz w:val="24"/>
          <w:szCs w:val="24"/>
        </w:rPr>
        <w:lastRenderedPageBreak/>
        <w:t>group’s</w:t>
      </w:r>
      <w:r w:rsidR="00351EF2">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reinforcement  which their  big demand capacity attributes to), the other customers downstream at L2, L3 level but with very small demand capacities, would be unfairly exposed to all the reinforcement cost.</w:t>
      </w:r>
      <w:r w:rsidR="000C3E51">
        <w:rPr>
          <w:rFonts w:ascii="Times New Roman" w:hAnsi="Times New Roman" w:cs="Times New Roman"/>
          <w:color w:val="000000"/>
          <w:sz w:val="24"/>
          <w:szCs w:val="24"/>
        </w:rPr>
        <w:t xml:space="preserve"> In other words,</w:t>
      </w:r>
      <w:r w:rsidR="00AD0C0E" w:rsidRPr="00AD0C0E">
        <w:t xml:space="preserve"> </w:t>
      </w:r>
      <w:r w:rsidR="00AD0C0E">
        <w:rPr>
          <w:rFonts w:ascii="Times New Roman" w:hAnsi="Times New Roman" w:cs="Times New Roman"/>
          <w:color w:val="000000"/>
          <w:sz w:val="24"/>
          <w:szCs w:val="24"/>
        </w:rPr>
        <w:t>e</w:t>
      </w:r>
      <w:r w:rsidR="00AD0C0E" w:rsidRPr="00AD0C0E">
        <w:rPr>
          <w:rFonts w:ascii="Times New Roman" w:hAnsi="Times New Roman" w:cs="Times New Roman"/>
          <w:color w:val="000000"/>
          <w:sz w:val="24"/>
          <w:szCs w:val="24"/>
        </w:rPr>
        <w:t xml:space="preserve">xempting 0000 </w:t>
      </w:r>
      <w:r w:rsidR="00AD0C0E">
        <w:rPr>
          <w:rFonts w:ascii="Times New Roman" w:hAnsi="Times New Roman" w:cs="Times New Roman"/>
          <w:color w:val="000000"/>
          <w:sz w:val="24"/>
          <w:szCs w:val="24"/>
        </w:rPr>
        <w:t>customers</w:t>
      </w:r>
      <w:r w:rsidR="00AD0C0E" w:rsidRPr="00AD0C0E">
        <w:rPr>
          <w:rFonts w:ascii="Times New Roman" w:hAnsi="Times New Roman" w:cs="Times New Roman"/>
          <w:color w:val="000000"/>
          <w:sz w:val="24"/>
          <w:szCs w:val="24"/>
        </w:rPr>
        <w:t xml:space="preserve"> may increase the charge 1 substantially for all other customer categories</w:t>
      </w:r>
      <w:r w:rsidR="00AD0C0E">
        <w:rPr>
          <w:rFonts w:ascii="Arial" w:eastAsia="Times New Roman" w:hAnsi="Arial" w:cs="Times New Roman"/>
          <w:lang w:val="en-US"/>
        </w:rPr>
        <w:t>.</w:t>
      </w:r>
      <w:r w:rsidR="00AD0C0E" w:rsidRPr="00AD0C0E">
        <w:rPr>
          <w:rFonts w:ascii="Arial" w:eastAsia="Times New Roman" w:hAnsi="Arial" w:cs="Times New Roman"/>
          <w:lang w:val="en-US"/>
        </w:rPr>
        <w:t xml:space="preserve">  </w:t>
      </w:r>
    </w:p>
    <w:p w14:paraId="254CA829" w14:textId="20197482" w:rsidR="000642FC" w:rsidRPr="00EA5FB6" w:rsidRDefault="000C3E51" w:rsidP="000642FC">
      <w:pPr>
        <w:autoSpaceDE w:val="0"/>
        <w:autoSpaceDN w:val="0"/>
        <w:adjustRightInd w:val="0"/>
        <w:spacing w:before="240"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 </w:t>
      </w:r>
    </w:p>
    <w:p w14:paraId="187BC190" w14:textId="775641BE" w:rsidR="00A8061F" w:rsidRPr="00A8061F" w:rsidRDefault="00A8061F" w:rsidP="00A8061F">
      <w:pPr>
        <w:pStyle w:val="ListParagraph"/>
        <w:autoSpaceDE w:val="0"/>
        <w:autoSpaceDN w:val="0"/>
        <w:adjustRightInd w:val="0"/>
        <w:spacing w:before="240" w:after="0" w:line="240" w:lineRule="auto"/>
        <w:rPr>
          <w:rFonts w:ascii="Times New Roman" w:hAnsi="Times New Roman" w:cs="Times New Roman"/>
          <w:b/>
          <w:bCs/>
          <w:color w:val="000000"/>
          <w:sz w:val="24"/>
          <w:szCs w:val="24"/>
        </w:rPr>
      </w:pPr>
    </w:p>
    <w:sectPr w:rsidR="00A8061F" w:rsidRPr="00A8061F" w:rsidSect="00E947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9D6077"/>
    <w:multiLevelType w:val="hybridMultilevel"/>
    <w:tmpl w:val="3C7CF24C"/>
    <w:lvl w:ilvl="0" w:tplc="05F25214">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B4509F7"/>
    <w:multiLevelType w:val="hybridMultilevel"/>
    <w:tmpl w:val="FFFFFFFF"/>
    <w:lvl w:ilvl="0" w:tplc="9850B3C0">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7B110F21"/>
    <w:multiLevelType w:val="hybridMultilevel"/>
    <w:tmpl w:val="4E4AC5B8"/>
    <w:lvl w:ilvl="0" w:tplc="BEE85696">
      <w:numFmt w:val="bullet"/>
      <w:lvlText w:val=""/>
      <w:lvlJc w:val="left"/>
      <w:pPr>
        <w:ind w:left="720" w:hanging="360"/>
      </w:pPr>
      <w:rPr>
        <w:rFonts w:ascii="Wingdings" w:eastAsiaTheme="minorHAns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64569269">
    <w:abstractNumId w:val="0"/>
  </w:num>
  <w:num w:numId="2" w16cid:durableId="1240872578">
    <w:abstractNumId w:val="2"/>
  </w:num>
  <w:num w:numId="3" w16cid:durableId="5644191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464"/>
    <w:rsid w:val="000642FC"/>
    <w:rsid w:val="000C3E51"/>
    <w:rsid w:val="001A66CF"/>
    <w:rsid w:val="00223E7E"/>
    <w:rsid w:val="002C59BC"/>
    <w:rsid w:val="0035050C"/>
    <w:rsid w:val="00351EF2"/>
    <w:rsid w:val="003E0178"/>
    <w:rsid w:val="003E3482"/>
    <w:rsid w:val="006120E3"/>
    <w:rsid w:val="006230BB"/>
    <w:rsid w:val="00624591"/>
    <w:rsid w:val="006E09BD"/>
    <w:rsid w:val="007E461B"/>
    <w:rsid w:val="00801B96"/>
    <w:rsid w:val="008021A2"/>
    <w:rsid w:val="009609AC"/>
    <w:rsid w:val="009B74CE"/>
    <w:rsid w:val="00A1300E"/>
    <w:rsid w:val="00A4343C"/>
    <w:rsid w:val="00A62E5C"/>
    <w:rsid w:val="00A75BD1"/>
    <w:rsid w:val="00A8061F"/>
    <w:rsid w:val="00AB5B16"/>
    <w:rsid w:val="00AD0C0E"/>
    <w:rsid w:val="00B50194"/>
    <w:rsid w:val="00C1496B"/>
    <w:rsid w:val="00CD5D1B"/>
    <w:rsid w:val="00CE4F4E"/>
    <w:rsid w:val="00DC1603"/>
    <w:rsid w:val="00DD520D"/>
    <w:rsid w:val="00E66DF7"/>
    <w:rsid w:val="00E9475E"/>
    <w:rsid w:val="00EA5FB6"/>
    <w:rsid w:val="00EC58AD"/>
    <w:rsid w:val="00EE08A6"/>
    <w:rsid w:val="00EE4844"/>
    <w:rsid w:val="00F02E5A"/>
    <w:rsid w:val="00F932D7"/>
    <w:rsid w:val="00FA14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strokecolor="#00b0f0"/>
    </o:shapedefaults>
    <o:shapelayout v:ext="edit">
      <o:idmap v:ext="edit" data="1"/>
    </o:shapelayout>
  </w:shapeDefaults>
  <w:decimalSymbol w:val="."/>
  <w:listSeparator w:val=","/>
  <w14:docId w14:val="76F9211B"/>
  <w15:docId w15:val="{2ECE242B-781C-4392-8C13-8213EB794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7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34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3482"/>
    <w:rPr>
      <w:rFonts w:ascii="Tahoma" w:hAnsi="Tahoma" w:cs="Tahoma"/>
      <w:sz w:val="16"/>
      <w:szCs w:val="16"/>
    </w:rPr>
  </w:style>
  <w:style w:type="paragraph" w:styleId="ListParagraph">
    <w:name w:val="List Paragraph"/>
    <w:basedOn w:val="Normal"/>
    <w:uiPriority w:val="34"/>
    <w:qFormat/>
    <w:rsid w:val="00801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D946A1-B735-432B-BC81-21C655148C52}"/>
</file>

<file path=customXml/itemProps2.xml><?xml version="1.0" encoding="utf-8"?>
<ds:datastoreItem xmlns:ds="http://schemas.openxmlformats.org/officeDocument/2006/customXml" ds:itemID="{593446B7-7980-4588-B0F3-9E3923EB3F7F}"/>
</file>

<file path=customXml/itemProps3.xml><?xml version="1.0" encoding="utf-8"?>
<ds:datastoreItem xmlns:ds="http://schemas.openxmlformats.org/officeDocument/2006/customXml" ds:itemID="{93224082-CC85-4DDF-8F20-ED4EFB00810C}"/>
</file>

<file path=docProps/app.xml><?xml version="1.0" encoding="utf-8"?>
<Properties xmlns="http://schemas.openxmlformats.org/officeDocument/2006/extended-properties" xmlns:vt="http://schemas.openxmlformats.org/officeDocument/2006/docPropsVTypes">
  <Template>Normal</Template>
  <TotalTime>195</TotalTime>
  <Pages>4</Pages>
  <Words>812</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Scottish &amp; Southern Energy Plc</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hh86515</dc:creator>
  <cp:keywords/>
  <dc:description/>
  <cp:lastModifiedBy>Le, Giao (Distribution)</cp:lastModifiedBy>
  <cp:revision>6</cp:revision>
  <cp:lastPrinted>2012-08-29T14:25:00Z</cp:lastPrinted>
  <dcterms:created xsi:type="dcterms:W3CDTF">2025-05-13T09:06:00Z</dcterms:created>
  <dcterms:modified xsi:type="dcterms:W3CDTF">2025-05-13T12:33:00Z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ies>
</file>